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34" w:rsidRPr="00F85E04" w:rsidRDefault="00B21834" w:rsidP="00F85E04">
      <w:pPr>
        <w:widowControl w:val="0"/>
        <w:numPr>
          <w:ilvl w:val="0"/>
          <w:numId w:val="1"/>
        </w:numPr>
        <w:autoSpaceDE w:val="0"/>
        <w:autoSpaceDN w:val="0"/>
        <w:spacing w:before="240"/>
        <w:ind w:left="539" w:right="34" w:hanging="539"/>
        <w:jc w:val="both"/>
        <w:rPr>
          <w:rFonts w:ascii="Arial" w:hAnsi="Arial" w:cs="Arial"/>
          <w:bCs/>
          <w:i/>
          <w:iCs/>
          <w:sz w:val="22"/>
          <w:szCs w:val="22"/>
        </w:rPr>
      </w:pPr>
      <w:bookmarkStart w:id="0" w:name="_GoBack"/>
      <w:bookmarkEnd w:id="0"/>
      <w:r w:rsidRPr="00F85E04">
        <w:rPr>
          <w:rFonts w:ascii="Arial" w:hAnsi="Arial" w:cs="Arial"/>
          <w:sz w:val="22"/>
          <w:szCs w:val="22"/>
        </w:rPr>
        <w:t xml:space="preserve">The </w:t>
      </w:r>
      <w:r w:rsidRPr="00D242D4">
        <w:rPr>
          <w:rFonts w:ascii="Arial" w:hAnsi="Arial" w:cs="Arial"/>
          <w:sz w:val="22"/>
          <w:szCs w:val="22"/>
        </w:rPr>
        <w:t xml:space="preserve">Gas Security Amendment Bill 2011 </w:t>
      </w:r>
      <w:r w:rsidRPr="00F85E04">
        <w:rPr>
          <w:rFonts w:ascii="Arial" w:hAnsi="Arial" w:cs="Arial"/>
          <w:sz w:val="22"/>
          <w:szCs w:val="22"/>
        </w:rPr>
        <w:t xml:space="preserve">amends </w:t>
      </w:r>
      <w:r w:rsidRPr="00F85E04">
        <w:rPr>
          <w:rFonts w:ascii="Arial" w:hAnsi="Arial" w:cs="Arial"/>
          <w:bCs/>
          <w:sz w:val="22"/>
          <w:szCs w:val="22"/>
        </w:rPr>
        <w:t xml:space="preserve">the </w:t>
      </w:r>
      <w:r w:rsidRPr="00F85E04">
        <w:rPr>
          <w:rFonts w:ascii="Arial" w:hAnsi="Arial" w:cs="Arial"/>
          <w:bCs/>
          <w:i/>
          <w:sz w:val="22"/>
          <w:szCs w:val="22"/>
        </w:rPr>
        <w:t xml:space="preserve">Petroleum and Gas (Production and Safety) Act 2004 </w:t>
      </w:r>
      <w:r w:rsidRPr="00F85E04">
        <w:rPr>
          <w:rFonts w:ascii="Arial" w:hAnsi="Arial" w:cs="Arial"/>
          <w:bCs/>
          <w:sz w:val="22"/>
          <w:szCs w:val="22"/>
        </w:rPr>
        <w:t>(P&amp;G Act) to enable implementation of the Prospective Gas Production Land Reserve (PGPLR) policy.  The PGPLR policy will allow conditioning of an exploration tenure over certain gas prospective land to ensure gas produced from a subsequent production lease over the same area is supplied to the Australian market only.</w:t>
      </w:r>
    </w:p>
    <w:p w:rsidR="00B21834" w:rsidRPr="00F85E04" w:rsidRDefault="00B21834" w:rsidP="00F85E04">
      <w:pPr>
        <w:widowControl w:val="0"/>
        <w:numPr>
          <w:ilvl w:val="0"/>
          <w:numId w:val="1"/>
        </w:numPr>
        <w:autoSpaceDE w:val="0"/>
        <w:autoSpaceDN w:val="0"/>
        <w:spacing w:before="240"/>
        <w:ind w:left="539" w:right="34" w:hanging="539"/>
        <w:jc w:val="both"/>
        <w:rPr>
          <w:rFonts w:ascii="Arial" w:hAnsi="Arial" w:cs="Arial"/>
          <w:bCs/>
          <w:i/>
          <w:iCs/>
          <w:sz w:val="22"/>
          <w:szCs w:val="22"/>
        </w:rPr>
      </w:pPr>
      <w:r w:rsidRPr="00F85E04">
        <w:rPr>
          <w:rFonts w:ascii="Arial" w:hAnsi="Arial" w:cs="Arial"/>
          <w:sz w:val="22"/>
          <w:szCs w:val="22"/>
        </w:rPr>
        <w:t xml:space="preserve">The Bill also amends the P&amp;G Act to allow for the frequency of lodgement of royalty returns to be prescribed in a regulation and amends the </w:t>
      </w:r>
      <w:r w:rsidRPr="00F85E04">
        <w:rPr>
          <w:rFonts w:ascii="Arial" w:hAnsi="Arial" w:cs="Arial"/>
          <w:i/>
          <w:sz w:val="22"/>
          <w:szCs w:val="22"/>
        </w:rPr>
        <w:t xml:space="preserve">Petroleum and Gas (Production and Safety) Regulation 2004 </w:t>
      </w:r>
      <w:r w:rsidRPr="00F85E04">
        <w:rPr>
          <w:rFonts w:ascii="Arial" w:hAnsi="Arial" w:cs="Arial"/>
          <w:sz w:val="22"/>
          <w:szCs w:val="22"/>
        </w:rPr>
        <w:t xml:space="preserve">to prescribe the royalty return periods providing consistency across </w:t>
      </w:r>
      <w:smartTag w:uri="urn:schemas-microsoft-com:office:smarttags" w:element="place">
        <w:smartTag w:uri="urn:schemas-microsoft-com:office:smarttags" w:element="State">
          <w:r w:rsidRPr="00F85E04">
            <w:rPr>
              <w:rFonts w:ascii="Arial" w:hAnsi="Arial" w:cs="Arial"/>
              <w:sz w:val="22"/>
              <w:szCs w:val="22"/>
            </w:rPr>
            <w:t>Queensland</w:t>
          </w:r>
        </w:smartTag>
      </w:smartTag>
      <w:r w:rsidRPr="00F85E04">
        <w:rPr>
          <w:rFonts w:ascii="Arial" w:hAnsi="Arial" w:cs="Arial"/>
          <w:sz w:val="22"/>
          <w:szCs w:val="22"/>
        </w:rPr>
        <w:t>’s mineral, geothermal and petroleum legislation.</w:t>
      </w:r>
    </w:p>
    <w:p w:rsidR="00B21834" w:rsidRPr="00F85E04" w:rsidRDefault="00B21834" w:rsidP="00F85E04">
      <w:pPr>
        <w:widowControl w:val="0"/>
        <w:numPr>
          <w:ilvl w:val="0"/>
          <w:numId w:val="1"/>
        </w:numPr>
        <w:autoSpaceDE w:val="0"/>
        <w:autoSpaceDN w:val="0"/>
        <w:spacing w:before="240"/>
        <w:ind w:left="539" w:right="34" w:hanging="539"/>
        <w:jc w:val="both"/>
        <w:rPr>
          <w:rFonts w:ascii="Arial" w:hAnsi="Arial" w:cs="Arial"/>
          <w:bCs/>
          <w:i/>
          <w:iCs/>
          <w:sz w:val="22"/>
          <w:szCs w:val="22"/>
        </w:rPr>
      </w:pPr>
      <w:r w:rsidRPr="00F85E04">
        <w:rPr>
          <w:rFonts w:ascii="Arial" w:hAnsi="Arial" w:cs="Arial"/>
          <w:bCs/>
          <w:iCs/>
          <w:sz w:val="22"/>
          <w:szCs w:val="22"/>
        </w:rPr>
        <w:t>The Bill</w:t>
      </w:r>
      <w:r w:rsidRPr="00F85E04">
        <w:rPr>
          <w:rFonts w:ascii="Arial" w:hAnsi="Arial" w:cs="Arial"/>
          <w:bCs/>
          <w:i/>
          <w:iCs/>
          <w:sz w:val="22"/>
          <w:szCs w:val="22"/>
        </w:rPr>
        <w:t xml:space="preserve"> </w:t>
      </w:r>
      <w:r w:rsidRPr="00F85E04">
        <w:rPr>
          <w:rFonts w:ascii="Arial" w:hAnsi="Arial" w:cs="Arial"/>
          <w:bCs/>
          <w:sz w:val="22"/>
          <w:szCs w:val="22"/>
        </w:rPr>
        <w:t xml:space="preserve">contains amendments to the P&amp;G Act related to Coal Seam Gas pipeline easements.  </w:t>
      </w:r>
      <w:r w:rsidRPr="00F85E04">
        <w:rPr>
          <w:rFonts w:ascii="Arial" w:hAnsi="Arial" w:cs="Arial"/>
          <w:sz w:val="22"/>
          <w:szCs w:val="22"/>
        </w:rPr>
        <w:t>The amendments clarifies that the Coordinator-General as the easement holder, not the landholder, is the only party who may grant permission to proponents to access this land for pipeline purposes under the P&amp;G Act.</w:t>
      </w:r>
    </w:p>
    <w:p w:rsidR="00B21834" w:rsidRPr="00F85E04" w:rsidRDefault="00B21834" w:rsidP="00F85E04">
      <w:pPr>
        <w:numPr>
          <w:ilvl w:val="0"/>
          <w:numId w:val="1"/>
        </w:numPr>
        <w:spacing w:before="240"/>
        <w:ind w:left="539" w:hanging="539"/>
        <w:jc w:val="both"/>
        <w:rPr>
          <w:rFonts w:ascii="Arial" w:hAnsi="Arial" w:cs="Arial"/>
          <w:i/>
          <w:sz w:val="22"/>
          <w:szCs w:val="22"/>
          <w:u w:val="single"/>
        </w:rPr>
      </w:pPr>
      <w:r w:rsidRPr="00F85E04">
        <w:rPr>
          <w:rFonts w:ascii="Arial" w:hAnsi="Arial" w:cs="Arial"/>
          <w:bCs/>
          <w:sz w:val="22"/>
          <w:szCs w:val="22"/>
        </w:rPr>
        <w:t xml:space="preserve">The Bill incorporates amendments to </w:t>
      </w:r>
      <w:r w:rsidRPr="00F85E04">
        <w:rPr>
          <w:rFonts w:ascii="Arial" w:hAnsi="Arial" w:cs="Arial"/>
          <w:sz w:val="22"/>
          <w:szCs w:val="22"/>
        </w:rPr>
        <w:t>the legislative framework for petroleum tenures to remove uncertainty regarding the requirements to make an application for a petroleum production lease and the validity of converted petroleum exploration tenures.</w:t>
      </w:r>
    </w:p>
    <w:p w:rsidR="00B21834" w:rsidRPr="00F85E04" w:rsidRDefault="00B21834" w:rsidP="00F85E04">
      <w:pPr>
        <w:widowControl w:val="0"/>
        <w:numPr>
          <w:ilvl w:val="0"/>
          <w:numId w:val="1"/>
        </w:numPr>
        <w:autoSpaceDE w:val="0"/>
        <w:autoSpaceDN w:val="0"/>
        <w:spacing w:before="240"/>
        <w:ind w:left="539" w:right="34" w:hanging="539"/>
        <w:jc w:val="both"/>
        <w:rPr>
          <w:rFonts w:ascii="Arial" w:hAnsi="Arial" w:cs="Arial"/>
          <w:bCs/>
          <w:i/>
          <w:iCs/>
          <w:sz w:val="22"/>
          <w:szCs w:val="22"/>
        </w:rPr>
      </w:pPr>
      <w:r w:rsidRPr="00F85E04">
        <w:rPr>
          <w:rFonts w:ascii="Arial" w:hAnsi="Arial" w:cs="Arial"/>
          <w:sz w:val="22"/>
          <w:szCs w:val="22"/>
        </w:rPr>
        <w:t>The Bill</w:t>
      </w:r>
      <w:r w:rsidRPr="00F85E04">
        <w:rPr>
          <w:rFonts w:ascii="Arial" w:hAnsi="Arial" w:cs="Arial"/>
          <w:i/>
          <w:sz w:val="22"/>
          <w:szCs w:val="22"/>
        </w:rPr>
        <w:t xml:space="preserve"> </w:t>
      </w:r>
      <w:r w:rsidRPr="00F85E04">
        <w:rPr>
          <w:rFonts w:ascii="Arial" w:hAnsi="Arial" w:cs="Arial"/>
          <w:sz w:val="22"/>
          <w:szCs w:val="22"/>
        </w:rPr>
        <w:t xml:space="preserve">amends the </w:t>
      </w:r>
      <w:r w:rsidRPr="00F85E04">
        <w:rPr>
          <w:rFonts w:ascii="Arial" w:hAnsi="Arial" w:cs="Arial"/>
          <w:i/>
          <w:sz w:val="22"/>
          <w:szCs w:val="22"/>
        </w:rPr>
        <w:t>National</w:t>
      </w:r>
      <w:r w:rsidRPr="00F85E04">
        <w:rPr>
          <w:rFonts w:ascii="Arial" w:hAnsi="Arial" w:cs="Arial"/>
          <w:sz w:val="22"/>
          <w:szCs w:val="22"/>
        </w:rPr>
        <w:t xml:space="preserve"> </w:t>
      </w:r>
      <w:r w:rsidRPr="00F85E04">
        <w:rPr>
          <w:rFonts w:ascii="Arial" w:hAnsi="Arial" w:cs="Arial"/>
          <w:i/>
          <w:sz w:val="22"/>
          <w:szCs w:val="22"/>
        </w:rPr>
        <w:t>Gas (</w:t>
      </w:r>
      <w:smartTag w:uri="urn:schemas-microsoft-com:office:smarttags" w:element="State">
        <w:r w:rsidRPr="00F85E04">
          <w:rPr>
            <w:rFonts w:ascii="Arial" w:hAnsi="Arial" w:cs="Arial"/>
            <w:i/>
            <w:sz w:val="22"/>
            <w:szCs w:val="22"/>
          </w:rPr>
          <w:t>Queensland</w:t>
        </w:r>
      </w:smartTag>
      <w:r w:rsidRPr="00F85E04">
        <w:rPr>
          <w:rFonts w:ascii="Arial" w:hAnsi="Arial" w:cs="Arial"/>
          <w:i/>
          <w:sz w:val="22"/>
          <w:szCs w:val="22"/>
        </w:rPr>
        <w:t xml:space="preserve">) Act 2008 </w:t>
      </w:r>
      <w:r w:rsidRPr="00F85E04">
        <w:rPr>
          <w:rFonts w:ascii="Arial" w:hAnsi="Arial" w:cs="Arial"/>
          <w:sz w:val="22"/>
          <w:szCs w:val="22"/>
        </w:rPr>
        <w:t>(Application Act)</w:t>
      </w:r>
      <w:r w:rsidRPr="00F85E04">
        <w:rPr>
          <w:rFonts w:ascii="Arial" w:hAnsi="Arial" w:cs="Arial"/>
          <w:i/>
          <w:sz w:val="22"/>
          <w:szCs w:val="22"/>
        </w:rPr>
        <w:t xml:space="preserve"> </w:t>
      </w:r>
      <w:r w:rsidRPr="00F85E04">
        <w:rPr>
          <w:rFonts w:ascii="Arial" w:hAnsi="Arial" w:cs="Arial"/>
          <w:sz w:val="22"/>
          <w:szCs w:val="22"/>
        </w:rPr>
        <w:t xml:space="preserve">to provide for the implementation of a gas Short Term Trading Market (STTM) in </w:t>
      </w:r>
      <w:smartTag w:uri="urn:schemas-microsoft-com:office:smarttags" w:element="place">
        <w:smartTag w:uri="urn:schemas-microsoft-com:office:smarttags" w:element="State">
          <w:r w:rsidRPr="00F85E04">
            <w:rPr>
              <w:rFonts w:ascii="Arial" w:hAnsi="Arial" w:cs="Arial"/>
              <w:sz w:val="22"/>
              <w:szCs w:val="22"/>
            </w:rPr>
            <w:t>Queensland</w:t>
          </w:r>
        </w:smartTag>
      </w:smartTag>
      <w:r w:rsidRPr="00F85E04">
        <w:rPr>
          <w:rFonts w:ascii="Arial" w:hAnsi="Arial" w:cs="Arial"/>
          <w:sz w:val="22"/>
          <w:szCs w:val="22"/>
        </w:rPr>
        <w:t>, encouraging better investment decisions and greater market efficiency.</w:t>
      </w:r>
    </w:p>
    <w:p w:rsidR="00B21834" w:rsidRPr="00F85E04" w:rsidRDefault="00B21834" w:rsidP="00F85E04">
      <w:pPr>
        <w:widowControl w:val="0"/>
        <w:numPr>
          <w:ilvl w:val="0"/>
          <w:numId w:val="1"/>
        </w:numPr>
        <w:autoSpaceDE w:val="0"/>
        <w:autoSpaceDN w:val="0"/>
        <w:spacing w:before="240"/>
        <w:ind w:left="539" w:right="34" w:hanging="539"/>
        <w:jc w:val="both"/>
        <w:rPr>
          <w:rFonts w:ascii="Arial" w:hAnsi="Arial" w:cs="Arial"/>
          <w:bCs/>
          <w:i/>
          <w:iCs/>
          <w:sz w:val="22"/>
          <w:szCs w:val="22"/>
        </w:rPr>
      </w:pPr>
      <w:r w:rsidRPr="00F85E04">
        <w:rPr>
          <w:rFonts w:ascii="Arial" w:hAnsi="Arial" w:cs="Arial"/>
          <w:bCs/>
          <w:sz w:val="22"/>
          <w:szCs w:val="22"/>
        </w:rPr>
        <w:t xml:space="preserve">The Bill </w:t>
      </w:r>
      <w:r w:rsidRPr="00F85E04">
        <w:rPr>
          <w:rFonts w:ascii="Arial" w:hAnsi="Arial" w:cs="Arial"/>
          <w:sz w:val="22"/>
          <w:szCs w:val="22"/>
        </w:rPr>
        <w:t xml:space="preserve">also </w:t>
      </w:r>
      <w:r w:rsidRPr="00F85E04">
        <w:rPr>
          <w:rFonts w:ascii="Arial" w:hAnsi="Arial" w:cs="Arial"/>
          <w:bCs/>
          <w:sz w:val="22"/>
          <w:szCs w:val="22"/>
        </w:rPr>
        <w:t>includes amendments to the Application Act</w:t>
      </w:r>
      <w:r w:rsidRPr="00F85E04">
        <w:rPr>
          <w:rFonts w:ascii="Arial" w:hAnsi="Arial" w:cs="Arial"/>
          <w:bCs/>
          <w:i/>
          <w:sz w:val="22"/>
          <w:szCs w:val="22"/>
        </w:rPr>
        <w:t xml:space="preserve"> </w:t>
      </w:r>
      <w:r w:rsidRPr="00F85E04">
        <w:rPr>
          <w:rFonts w:ascii="Arial" w:hAnsi="Arial" w:cs="Arial"/>
          <w:bCs/>
          <w:sz w:val="22"/>
          <w:szCs w:val="22"/>
        </w:rPr>
        <w:t xml:space="preserve">to incorporate the relevant provision of the expiring </w:t>
      </w:r>
      <w:r w:rsidRPr="00F85E04">
        <w:rPr>
          <w:rFonts w:ascii="Arial" w:hAnsi="Arial" w:cs="Arial"/>
          <w:bCs/>
          <w:i/>
          <w:sz w:val="22"/>
          <w:szCs w:val="22"/>
        </w:rPr>
        <w:t>National Gas (</w:t>
      </w:r>
      <w:smartTag w:uri="urn:schemas-microsoft-com:office:smarttags" w:element="place">
        <w:smartTag w:uri="urn:schemas-microsoft-com:office:smarttags" w:element="State">
          <w:r w:rsidRPr="00F85E04">
            <w:rPr>
              <w:rFonts w:ascii="Arial" w:hAnsi="Arial" w:cs="Arial"/>
              <w:bCs/>
              <w:i/>
              <w:sz w:val="22"/>
              <w:szCs w:val="22"/>
            </w:rPr>
            <w:t>Queensland</w:t>
          </w:r>
        </w:smartTag>
      </w:smartTag>
      <w:r w:rsidRPr="00F85E04">
        <w:rPr>
          <w:rFonts w:ascii="Arial" w:hAnsi="Arial" w:cs="Arial"/>
          <w:bCs/>
          <w:i/>
          <w:sz w:val="22"/>
          <w:szCs w:val="22"/>
        </w:rPr>
        <w:t xml:space="preserve">) Regulation 2008 </w:t>
      </w:r>
      <w:r w:rsidRPr="00F85E04">
        <w:rPr>
          <w:rFonts w:ascii="Arial" w:hAnsi="Arial" w:cs="Arial"/>
          <w:bCs/>
          <w:sz w:val="22"/>
          <w:szCs w:val="22"/>
        </w:rPr>
        <w:t>and preserve the Carpentaria Gas Pipeline arrangements.</w:t>
      </w:r>
    </w:p>
    <w:p w:rsidR="00B21834" w:rsidRPr="00F85E04" w:rsidRDefault="00B21834" w:rsidP="00F85E04">
      <w:pPr>
        <w:widowControl w:val="0"/>
        <w:numPr>
          <w:ilvl w:val="0"/>
          <w:numId w:val="1"/>
        </w:numPr>
        <w:autoSpaceDE w:val="0"/>
        <w:autoSpaceDN w:val="0"/>
        <w:spacing w:before="240"/>
        <w:ind w:left="539" w:right="34" w:hanging="539"/>
        <w:jc w:val="both"/>
        <w:rPr>
          <w:rFonts w:ascii="Arial" w:hAnsi="Arial" w:cs="Arial"/>
          <w:bCs/>
          <w:i/>
          <w:iCs/>
          <w:sz w:val="22"/>
          <w:szCs w:val="22"/>
        </w:rPr>
      </w:pPr>
      <w:r w:rsidRPr="00F85E04">
        <w:rPr>
          <w:rFonts w:ascii="Arial" w:hAnsi="Arial" w:cs="Arial"/>
          <w:sz w:val="22"/>
          <w:szCs w:val="22"/>
        </w:rPr>
        <w:t xml:space="preserve">In addition, the Bill includes amendments to the </w:t>
      </w:r>
      <w:r w:rsidRPr="00F85E04">
        <w:rPr>
          <w:rFonts w:ascii="Arial" w:hAnsi="Arial" w:cs="Arial"/>
          <w:bCs/>
          <w:i/>
          <w:sz w:val="22"/>
          <w:szCs w:val="22"/>
        </w:rPr>
        <w:t>Mineral Resources Act 1989</w:t>
      </w:r>
      <w:r w:rsidRPr="00F85E04">
        <w:rPr>
          <w:rStyle w:val="CommentReference"/>
          <w:rFonts w:ascii="Arial" w:hAnsi="Arial" w:cs="Arial"/>
          <w:sz w:val="22"/>
          <w:szCs w:val="22"/>
        </w:rPr>
        <w:t xml:space="preserve"> to </w:t>
      </w:r>
      <w:r w:rsidRPr="00F85E04">
        <w:rPr>
          <w:rFonts w:ascii="Arial" w:hAnsi="Arial" w:cs="Arial"/>
          <w:sz w:val="22"/>
          <w:szCs w:val="22"/>
        </w:rPr>
        <w:t xml:space="preserve">clarify that the Queensland Government’s Collingwood Park State Guarantee to repair any mine subsidence damage to properties in </w:t>
      </w:r>
      <w:smartTag w:uri="urn:schemas-microsoft-com:office:smarttags" w:element="place">
        <w:smartTag w:uri="urn:schemas-microsoft-com:office:smarttags" w:element="PlaceName">
          <w:r w:rsidRPr="00F85E04">
            <w:rPr>
              <w:rFonts w:ascii="Arial" w:hAnsi="Arial" w:cs="Arial"/>
              <w:sz w:val="22"/>
              <w:szCs w:val="22"/>
            </w:rPr>
            <w:t>Collingwood</w:t>
          </w:r>
        </w:smartTag>
        <w:r w:rsidRPr="00F85E04">
          <w:rPr>
            <w:rFonts w:ascii="Arial" w:hAnsi="Arial" w:cs="Arial"/>
            <w:sz w:val="22"/>
            <w:szCs w:val="22"/>
          </w:rPr>
          <w:t xml:space="preserve"> </w:t>
        </w:r>
        <w:smartTag w:uri="urn:schemas-microsoft-com:office:smarttags" w:element="PlaceType">
          <w:r w:rsidRPr="00F85E04">
            <w:rPr>
              <w:rFonts w:ascii="Arial" w:hAnsi="Arial" w:cs="Arial"/>
              <w:sz w:val="22"/>
              <w:szCs w:val="22"/>
            </w:rPr>
            <w:t>Park</w:t>
          </w:r>
        </w:smartTag>
      </w:smartTag>
      <w:r w:rsidRPr="00F85E04">
        <w:rPr>
          <w:rFonts w:ascii="Arial" w:hAnsi="Arial" w:cs="Arial"/>
          <w:sz w:val="22"/>
          <w:szCs w:val="22"/>
        </w:rPr>
        <w:t xml:space="preserve"> specifically relates to residential property.  </w:t>
      </w:r>
    </w:p>
    <w:p w:rsidR="00B21834" w:rsidRPr="00F85E04" w:rsidRDefault="00B21834" w:rsidP="00F85E04">
      <w:pPr>
        <w:numPr>
          <w:ilvl w:val="0"/>
          <w:numId w:val="1"/>
        </w:numPr>
        <w:spacing w:before="240"/>
        <w:ind w:hanging="540"/>
        <w:jc w:val="both"/>
        <w:rPr>
          <w:rFonts w:ascii="Arial" w:hAnsi="Arial" w:cs="Arial"/>
          <w:bCs/>
          <w:spacing w:val="-3"/>
          <w:sz w:val="22"/>
          <w:szCs w:val="22"/>
        </w:rPr>
      </w:pPr>
      <w:r w:rsidRPr="00F85E04">
        <w:rPr>
          <w:rFonts w:ascii="Arial" w:hAnsi="Arial" w:cs="Arial"/>
          <w:sz w:val="22"/>
          <w:szCs w:val="22"/>
          <w:u w:val="single"/>
        </w:rPr>
        <w:t>Cabinet approved</w:t>
      </w:r>
      <w:r w:rsidRPr="00F85E04">
        <w:rPr>
          <w:rFonts w:ascii="Arial" w:hAnsi="Arial" w:cs="Arial"/>
          <w:sz w:val="22"/>
          <w:szCs w:val="22"/>
        </w:rPr>
        <w:t xml:space="preserve"> the introduction of the Bill into the Legislative Assembly.</w:t>
      </w:r>
    </w:p>
    <w:p w:rsidR="00B21834" w:rsidRPr="00F85E04" w:rsidRDefault="00B21834" w:rsidP="00F85E04">
      <w:pPr>
        <w:numPr>
          <w:ilvl w:val="0"/>
          <w:numId w:val="1"/>
        </w:numPr>
        <w:spacing w:before="360"/>
        <w:ind w:left="539" w:hanging="539"/>
        <w:jc w:val="both"/>
        <w:rPr>
          <w:rFonts w:ascii="Arial" w:hAnsi="Arial" w:cs="Arial"/>
          <w:bCs/>
          <w:spacing w:val="-3"/>
          <w:sz w:val="22"/>
          <w:szCs w:val="22"/>
        </w:rPr>
      </w:pPr>
      <w:r w:rsidRPr="005F559E">
        <w:rPr>
          <w:rFonts w:ascii="Arial" w:hAnsi="Arial" w:cs="Arial"/>
          <w:i/>
          <w:sz w:val="22"/>
          <w:szCs w:val="22"/>
          <w:u w:val="single"/>
        </w:rPr>
        <w:t>Attachments</w:t>
      </w:r>
    </w:p>
    <w:p w:rsidR="00B21834" w:rsidRPr="00D242D4" w:rsidRDefault="00590EC2" w:rsidP="00F85E04">
      <w:pPr>
        <w:numPr>
          <w:ilvl w:val="0"/>
          <w:numId w:val="2"/>
        </w:numPr>
        <w:spacing w:before="120"/>
        <w:ind w:left="896" w:hanging="357"/>
        <w:jc w:val="both"/>
        <w:rPr>
          <w:rFonts w:ascii="Arial" w:hAnsi="Arial" w:cs="Arial"/>
          <w:bCs/>
          <w:spacing w:val="-3"/>
          <w:sz w:val="22"/>
          <w:szCs w:val="22"/>
        </w:rPr>
      </w:pPr>
      <w:hyperlink r:id="rId7" w:history="1">
        <w:r w:rsidR="00B21834" w:rsidRPr="00D242D4">
          <w:rPr>
            <w:rStyle w:val="Hyperlink"/>
            <w:rFonts w:ascii="Arial" w:hAnsi="Arial" w:cs="Arial"/>
            <w:bCs/>
            <w:sz w:val="22"/>
            <w:szCs w:val="22"/>
          </w:rPr>
          <w:t>Gas Security Amendment Bill 2011</w:t>
        </w:r>
      </w:hyperlink>
    </w:p>
    <w:p w:rsidR="00B21834" w:rsidRPr="00F85E04" w:rsidRDefault="00590EC2" w:rsidP="00F85E04">
      <w:pPr>
        <w:numPr>
          <w:ilvl w:val="0"/>
          <w:numId w:val="2"/>
        </w:numPr>
        <w:spacing w:before="120"/>
        <w:ind w:left="896" w:hanging="357"/>
        <w:jc w:val="both"/>
        <w:rPr>
          <w:rFonts w:ascii="Arial" w:hAnsi="Arial" w:cs="Arial"/>
          <w:sz w:val="22"/>
          <w:szCs w:val="22"/>
        </w:rPr>
      </w:pPr>
      <w:hyperlink r:id="rId8" w:history="1">
        <w:r w:rsidR="00B21834" w:rsidRPr="00D242D4">
          <w:rPr>
            <w:rStyle w:val="Hyperlink"/>
            <w:rFonts w:ascii="Arial" w:hAnsi="Arial" w:cs="Arial"/>
            <w:sz w:val="22"/>
            <w:szCs w:val="22"/>
          </w:rPr>
          <w:t>Explanatory notes</w:t>
        </w:r>
      </w:hyperlink>
      <w:r w:rsidR="00D242D4">
        <w:rPr>
          <w:rFonts w:ascii="Arial" w:hAnsi="Arial" w:cs="Arial"/>
          <w:sz w:val="22"/>
          <w:szCs w:val="22"/>
        </w:rPr>
        <w:t xml:space="preserve"> and </w:t>
      </w:r>
      <w:hyperlink r:id="rId9" w:history="1">
        <w:r w:rsidR="00D242D4" w:rsidRPr="00D242D4">
          <w:rPr>
            <w:rStyle w:val="Hyperlink"/>
            <w:rFonts w:ascii="Arial" w:hAnsi="Arial" w:cs="Arial"/>
            <w:sz w:val="22"/>
            <w:szCs w:val="22"/>
          </w:rPr>
          <w:t>erratum</w:t>
        </w:r>
      </w:hyperlink>
    </w:p>
    <w:sectPr w:rsidR="00B21834" w:rsidRPr="00F85E04" w:rsidSect="00F85E04">
      <w:headerReference w:type="default" r:id="rId10"/>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183" w:rsidRDefault="008E7183">
      <w:r>
        <w:separator/>
      </w:r>
    </w:p>
  </w:endnote>
  <w:endnote w:type="continuationSeparator" w:id="0">
    <w:p w:rsidR="008E7183" w:rsidRDefault="008E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183" w:rsidRDefault="008E7183">
      <w:r>
        <w:separator/>
      </w:r>
    </w:p>
  </w:footnote>
  <w:footnote w:type="continuationSeparator" w:id="0">
    <w:p w:rsidR="008E7183" w:rsidRDefault="008E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9E" w:rsidRDefault="00A05B41" w:rsidP="007D4280">
    <w:pPr>
      <w:spacing w:line="360" w:lineRule="auto"/>
      <w:jc w:val="both"/>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7620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5F559E" w:rsidRDefault="005F559E" w:rsidP="007D4280">
    <w:pPr>
      <w:pStyle w:val="Header"/>
      <w:tabs>
        <w:tab w:val="clear" w:pos="4153"/>
      </w:tabs>
      <w:jc w:val="center"/>
      <w:rPr>
        <w:rFonts w:ascii="Arial" w:hAnsi="Arial" w:cs="Arial"/>
        <w:b/>
        <w:sz w:val="22"/>
        <w:szCs w:val="22"/>
        <w:u w:val="single"/>
      </w:rPr>
    </w:pPr>
    <w:r w:rsidRPr="000400F9">
      <w:rPr>
        <w:rFonts w:ascii="Arial" w:hAnsi="Arial" w:cs="Arial"/>
        <w:b/>
        <w:sz w:val="22"/>
        <w:szCs w:val="22"/>
        <w:u w:val="single"/>
      </w:rPr>
      <w:t>Cabinet –</w:t>
    </w:r>
    <w:r>
      <w:rPr>
        <w:rFonts w:ascii="Arial" w:hAnsi="Arial" w:cs="Arial"/>
        <w:b/>
        <w:sz w:val="22"/>
        <w:szCs w:val="22"/>
        <w:u w:val="single"/>
      </w:rPr>
      <w:t xml:space="preserve"> April 2011</w:t>
    </w:r>
  </w:p>
  <w:p w:rsidR="005F559E" w:rsidRPr="00D242D4" w:rsidRDefault="005F559E" w:rsidP="007D4280">
    <w:pPr>
      <w:pStyle w:val="Header"/>
      <w:tabs>
        <w:tab w:val="clear" w:pos="4153"/>
      </w:tabs>
      <w:spacing w:before="120"/>
      <w:rPr>
        <w:rFonts w:ascii="Arial" w:hAnsi="Arial" w:cs="Arial"/>
        <w:b/>
        <w:bCs/>
        <w:sz w:val="22"/>
        <w:szCs w:val="22"/>
        <w:u w:val="single"/>
      </w:rPr>
    </w:pPr>
    <w:r w:rsidRPr="00D242D4">
      <w:rPr>
        <w:rFonts w:ascii="Arial" w:hAnsi="Arial" w:cs="Arial"/>
        <w:b/>
        <w:bCs/>
        <w:sz w:val="22"/>
        <w:szCs w:val="22"/>
        <w:u w:val="single"/>
      </w:rPr>
      <w:t>Gas Security Amendment Bill 2011</w:t>
    </w:r>
  </w:p>
  <w:p w:rsidR="005F559E" w:rsidRDefault="005F559E" w:rsidP="007D4280">
    <w:pPr>
      <w:pStyle w:val="Header"/>
      <w:tabs>
        <w:tab w:val="clear" w:pos="4153"/>
      </w:tabs>
      <w:spacing w:before="120"/>
      <w:rPr>
        <w:rFonts w:ascii="Arial" w:hAnsi="Arial" w:cs="Arial"/>
        <w:b/>
        <w:sz w:val="22"/>
        <w:szCs w:val="22"/>
        <w:u w:val="single"/>
      </w:rPr>
    </w:pPr>
    <w:r>
      <w:rPr>
        <w:rFonts w:ascii="Arial" w:hAnsi="Arial" w:cs="Arial"/>
        <w:b/>
        <w:sz w:val="22"/>
        <w:szCs w:val="22"/>
        <w:u w:val="single"/>
      </w:rPr>
      <w:t>Minister for Employment, Skills and Mining</w:t>
    </w:r>
  </w:p>
  <w:p w:rsidR="005F559E" w:rsidRDefault="005F559E" w:rsidP="007D4280">
    <w:pPr>
      <w:pStyle w:val="Header"/>
      <w:tabs>
        <w:tab w:val="clear" w:pos="4153"/>
      </w:tabs>
      <w:spacing w:before="120"/>
      <w:rPr>
        <w:rFonts w:ascii="Arial" w:hAnsi="Arial" w:cs="Arial"/>
        <w:b/>
        <w:sz w:val="22"/>
        <w:szCs w:val="22"/>
        <w:u w:val="single"/>
      </w:rPr>
    </w:pPr>
    <w:r>
      <w:rPr>
        <w:rFonts w:ascii="Arial" w:hAnsi="Arial" w:cs="Arial"/>
        <w:b/>
        <w:sz w:val="22"/>
        <w:szCs w:val="22"/>
        <w:u w:val="single"/>
      </w:rPr>
      <w:t>Minister for Energy and Water Utilities</w:t>
    </w:r>
  </w:p>
  <w:p w:rsidR="005F559E" w:rsidRPr="00F10DF9" w:rsidRDefault="005F559E" w:rsidP="007D4280">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F1413"/>
    <w:multiLevelType w:val="hybridMultilevel"/>
    <w:tmpl w:val="11A89DFC"/>
    <w:lvl w:ilvl="0" w:tplc="8F5C5BE6">
      <w:start w:val="1"/>
      <w:numFmt w:val="decimal"/>
      <w:lvlText w:val="%1."/>
      <w:lvlJc w:val="left"/>
      <w:pPr>
        <w:tabs>
          <w:tab w:val="num" w:pos="540"/>
        </w:tabs>
        <w:ind w:left="540" w:hanging="360"/>
      </w:pPr>
      <w:rPr>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38E169C"/>
    <w:multiLevelType w:val="hybridMultilevel"/>
    <w:tmpl w:val="44087672"/>
    <w:lvl w:ilvl="0" w:tplc="0C090001">
      <w:start w:val="1"/>
      <w:numFmt w:val="bullet"/>
      <w:lvlText w:val=""/>
      <w:lvlJc w:val="left"/>
      <w:pPr>
        <w:tabs>
          <w:tab w:val="num" w:pos="901"/>
        </w:tabs>
        <w:ind w:left="901" w:hanging="360"/>
      </w:pPr>
      <w:rPr>
        <w:rFonts w:ascii="Symbol" w:hAnsi="Symbol" w:hint="default"/>
        <w:i w:val="0"/>
      </w:rPr>
    </w:lvl>
    <w:lvl w:ilvl="1" w:tplc="0C090019" w:tentative="1">
      <w:start w:val="1"/>
      <w:numFmt w:val="lowerLetter"/>
      <w:lvlText w:val="%2."/>
      <w:lvlJc w:val="left"/>
      <w:pPr>
        <w:tabs>
          <w:tab w:val="num" w:pos="1801"/>
        </w:tabs>
        <w:ind w:left="1801" w:hanging="360"/>
      </w:pPr>
    </w:lvl>
    <w:lvl w:ilvl="2" w:tplc="0C09001B" w:tentative="1">
      <w:start w:val="1"/>
      <w:numFmt w:val="lowerRoman"/>
      <w:lvlText w:val="%3."/>
      <w:lvlJc w:val="right"/>
      <w:pPr>
        <w:tabs>
          <w:tab w:val="num" w:pos="2521"/>
        </w:tabs>
        <w:ind w:left="2521" w:hanging="180"/>
      </w:pPr>
    </w:lvl>
    <w:lvl w:ilvl="3" w:tplc="0C09000F" w:tentative="1">
      <w:start w:val="1"/>
      <w:numFmt w:val="decimal"/>
      <w:lvlText w:val="%4."/>
      <w:lvlJc w:val="left"/>
      <w:pPr>
        <w:tabs>
          <w:tab w:val="num" w:pos="3241"/>
        </w:tabs>
        <w:ind w:left="3241" w:hanging="360"/>
      </w:pPr>
    </w:lvl>
    <w:lvl w:ilvl="4" w:tplc="0C090019" w:tentative="1">
      <w:start w:val="1"/>
      <w:numFmt w:val="lowerLetter"/>
      <w:lvlText w:val="%5."/>
      <w:lvlJc w:val="left"/>
      <w:pPr>
        <w:tabs>
          <w:tab w:val="num" w:pos="3961"/>
        </w:tabs>
        <w:ind w:left="3961" w:hanging="360"/>
      </w:pPr>
    </w:lvl>
    <w:lvl w:ilvl="5" w:tplc="0C09001B" w:tentative="1">
      <w:start w:val="1"/>
      <w:numFmt w:val="lowerRoman"/>
      <w:lvlText w:val="%6."/>
      <w:lvlJc w:val="right"/>
      <w:pPr>
        <w:tabs>
          <w:tab w:val="num" w:pos="4681"/>
        </w:tabs>
        <w:ind w:left="4681" w:hanging="180"/>
      </w:pPr>
    </w:lvl>
    <w:lvl w:ilvl="6" w:tplc="0C09000F" w:tentative="1">
      <w:start w:val="1"/>
      <w:numFmt w:val="decimal"/>
      <w:lvlText w:val="%7."/>
      <w:lvlJc w:val="left"/>
      <w:pPr>
        <w:tabs>
          <w:tab w:val="num" w:pos="5401"/>
        </w:tabs>
        <w:ind w:left="5401" w:hanging="360"/>
      </w:pPr>
    </w:lvl>
    <w:lvl w:ilvl="7" w:tplc="0C090019" w:tentative="1">
      <w:start w:val="1"/>
      <w:numFmt w:val="lowerLetter"/>
      <w:lvlText w:val="%8."/>
      <w:lvlJc w:val="left"/>
      <w:pPr>
        <w:tabs>
          <w:tab w:val="num" w:pos="6121"/>
        </w:tabs>
        <w:ind w:left="6121" w:hanging="360"/>
      </w:pPr>
    </w:lvl>
    <w:lvl w:ilvl="8" w:tplc="0C09001B" w:tentative="1">
      <w:start w:val="1"/>
      <w:numFmt w:val="lowerRoman"/>
      <w:lvlText w:val="%9."/>
      <w:lvlJc w:val="right"/>
      <w:pPr>
        <w:tabs>
          <w:tab w:val="num" w:pos="6841"/>
        </w:tabs>
        <w:ind w:left="684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34"/>
    <w:rsid w:val="000D490D"/>
    <w:rsid w:val="001B704B"/>
    <w:rsid w:val="001F46EC"/>
    <w:rsid w:val="00267A8B"/>
    <w:rsid w:val="003369D7"/>
    <w:rsid w:val="00417A0A"/>
    <w:rsid w:val="00427B34"/>
    <w:rsid w:val="004E24F2"/>
    <w:rsid w:val="00506FB2"/>
    <w:rsid w:val="00590EC2"/>
    <w:rsid w:val="005A6DE9"/>
    <w:rsid w:val="005F559E"/>
    <w:rsid w:val="00673ECF"/>
    <w:rsid w:val="006B11D9"/>
    <w:rsid w:val="006C4E73"/>
    <w:rsid w:val="006C4EAF"/>
    <w:rsid w:val="006E4885"/>
    <w:rsid w:val="00716023"/>
    <w:rsid w:val="007D4280"/>
    <w:rsid w:val="008B58D7"/>
    <w:rsid w:val="008E7183"/>
    <w:rsid w:val="00996C14"/>
    <w:rsid w:val="009E24E8"/>
    <w:rsid w:val="00A05B41"/>
    <w:rsid w:val="00A4472D"/>
    <w:rsid w:val="00A74530"/>
    <w:rsid w:val="00B01C6E"/>
    <w:rsid w:val="00B21834"/>
    <w:rsid w:val="00B360B0"/>
    <w:rsid w:val="00C92A2F"/>
    <w:rsid w:val="00CE1249"/>
    <w:rsid w:val="00D242D4"/>
    <w:rsid w:val="00DD030B"/>
    <w:rsid w:val="00EC6A18"/>
    <w:rsid w:val="00EE7B3A"/>
    <w:rsid w:val="00F73B0D"/>
    <w:rsid w:val="00F85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83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834"/>
    <w:pPr>
      <w:tabs>
        <w:tab w:val="center" w:pos="4153"/>
        <w:tab w:val="right" w:pos="8306"/>
      </w:tabs>
    </w:pPr>
  </w:style>
  <w:style w:type="paragraph" w:styleId="Header">
    <w:name w:val="header"/>
    <w:basedOn w:val="Normal"/>
    <w:rsid w:val="00B21834"/>
    <w:pPr>
      <w:tabs>
        <w:tab w:val="center" w:pos="4153"/>
        <w:tab w:val="right" w:pos="8306"/>
      </w:tabs>
    </w:pPr>
  </w:style>
  <w:style w:type="character" w:styleId="CommentReference">
    <w:name w:val="annotation reference"/>
    <w:basedOn w:val="DefaultParagraphFont"/>
    <w:semiHidden/>
    <w:rsid w:val="00B21834"/>
    <w:rPr>
      <w:sz w:val="16"/>
      <w:szCs w:val="16"/>
    </w:rPr>
  </w:style>
  <w:style w:type="character" w:styleId="Hyperlink">
    <w:name w:val="Hyperlink"/>
    <w:basedOn w:val="DefaultParagraphFont"/>
    <w:rsid w:val="005A6DE9"/>
    <w:rPr>
      <w:color w:val="0000FF"/>
      <w:u w:val="single"/>
    </w:rPr>
  </w:style>
  <w:style w:type="paragraph" w:styleId="BalloonText">
    <w:name w:val="Balloon Text"/>
    <w:basedOn w:val="Normal"/>
    <w:semiHidden/>
    <w:rsid w:val="005A6DE9"/>
    <w:rPr>
      <w:rFonts w:ascii="Tahoma" w:hAnsi="Tahoma" w:cs="Tahoma"/>
      <w:sz w:val="16"/>
      <w:szCs w:val="16"/>
    </w:rPr>
  </w:style>
  <w:style w:type="character" w:customStyle="1" w:styleId="FooterChar">
    <w:name w:val="Footer Char"/>
    <w:basedOn w:val="DefaultParagraphFont"/>
    <w:link w:val="Footer"/>
    <w:uiPriority w:val="99"/>
    <w:rsid w:val="007160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Explanatory%20Notes%20errat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1866</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2189</CharactersWithSpaces>
  <SharedDoc>false</SharedDoc>
  <HyperlinkBase>https://www.cabinet.qld.gov.au/documents/2011/Apr/Gas Security Amendment Bill 2011/</HyperlinkBase>
  <HLinks>
    <vt:vector size="18" baseType="variant">
      <vt:variant>
        <vt:i4>1638418</vt:i4>
      </vt:variant>
      <vt:variant>
        <vt:i4>6</vt:i4>
      </vt:variant>
      <vt:variant>
        <vt:i4>0</vt:i4>
      </vt:variant>
      <vt:variant>
        <vt:i4>5</vt:i4>
      </vt:variant>
      <vt:variant>
        <vt:lpwstr>Attachments/Explanatory Notes erratum.pdf</vt:lpwstr>
      </vt:variant>
      <vt:variant>
        <vt:lpwstr/>
      </vt: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2011-06-02T03:23:00Z</cp:lastPrinted>
  <dcterms:created xsi:type="dcterms:W3CDTF">2017-10-24T23:04:00Z</dcterms:created>
  <dcterms:modified xsi:type="dcterms:W3CDTF">2018-03-06T01:06:00Z</dcterms:modified>
  <cp:category>Gas,Mining,Legislation</cp:category>
</cp:coreProperties>
</file>